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E765B3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4A8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</w:t>
            </w:r>
            <w:proofErr w:type="spellStart"/>
            <w:r w:rsidRPr="00AD5C5B">
              <w:rPr>
                <w:sz w:val="28"/>
                <w:szCs w:val="28"/>
              </w:rPr>
              <w:t>Лайт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Вел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Организейшн</w:t>
            </w:r>
            <w:proofErr w:type="spellEnd"/>
            <w:r w:rsidRPr="00AD5C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</w:t>
            </w:r>
            <w:proofErr w:type="spellEnd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оценки Задания </w:t>
            </w:r>
            <w:proofErr w:type="gramStart"/>
            <w:r w:rsidRPr="00FF24B1">
              <w:rPr>
                <w:lang w:val="ru-RU"/>
              </w:rPr>
              <w:t>по безопасности</w:t>
            </w:r>
            <w:proofErr w:type="gramEnd"/>
            <w:r w:rsidRPr="00FF24B1">
              <w:rPr>
                <w:lang w:val="ru-RU"/>
              </w:rPr>
              <w:t xml:space="preserve">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085B94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4.3*</w:t>
            </w:r>
          </w:p>
        </w:tc>
        <w:tc>
          <w:tcPr>
            <w:tcW w:w="1701" w:type="dxa"/>
            <w:vMerge w:val="restart"/>
          </w:tcPr>
          <w:p w14:paraId="5162AB96" w14:textId="5180AD86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F9E409D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085B94" w:rsidRPr="00FF24B1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085B94" w:rsidRPr="00FF24B1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</w:tcPr>
          <w:p w14:paraId="29038EE2" w14:textId="46E25993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D0AABD2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085B94" w:rsidRPr="00DE141B" w:rsidRDefault="00085B94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</w:tcPr>
          <w:p w14:paraId="06A20992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085B94" w:rsidRPr="00455878" w:rsidRDefault="00085B94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085B94" w:rsidRPr="00DE141B" w:rsidRDefault="00085B94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</w:tcPr>
          <w:p w14:paraId="224BE0CE" w14:textId="2574D55F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085B94" w:rsidRDefault="00085B94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085B94" w:rsidRDefault="00085B94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50DF1FD0" w14:textId="77777777" w:rsidR="00085B94" w:rsidRDefault="00085B94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  <w:p w14:paraId="5D5D63EA" w14:textId="77777777" w:rsidR="00085B94" w:rsidRDefault="00085B94" w:rsidP="00DB60C7">
            <w:pPr>
              <w:pStyle w:val="af5"/>
              <w:ind w:left="-57" w:right="-57"/>
              <w:rPr>
                <w:lang w:val="ru-RU"/>
              </w:rPr>
            </w:pPr>
          </w:p>
          <w:p w14:paraId="7380DF0F" w14:textId="2EBE689B" w:rsidR="00085B94" w:rsidRPr="00DB60C7" w:rsidRDefault="00085B94" w:rsidP="00DB60C7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085B94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4.9*</w:t>
            </w:r>
          </w:p>
        </w:tc>
        <w:tc>
          <w:tcPr>
            <w:tcW w:w="1701" w:type="dxa"/>
            <w:vMerge w:val="restart"/>
          </w:tcPr>
          <w:p w14:paraId="5C3C118C" w14:textId="6246828C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68A9EBB0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085B94" w:rsidRPr="0079621F" w:rsidRDefault="00085B94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085B94" w:rsidRPr="00FF24B1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01" w:type="dxa"/>
            <w:vMerge/>
          </w:tcPr>
          <w:p w14:paraId="09C3FA5A" w14:textId="595572E5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A43A5D5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085B94" w:rsidRPr="00FF24B1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085B94" w:rsidRPr="00FF24B1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085B94" w:rsidRPr="00FF24B1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085B94" w:rsidRPr="00455878" w:rsidRDefault="00085B94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393675D" w14:textId="046BB9BA" w:rsidR="00085B94" w:rsidRPr="00237522" w:rsidRDefault="00085B94" w:rsidP="00085B94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01" w:type="dxa"/>
            <w:vMerge/>
          </w:tcPr>
          <w:p w14:paraId="6A3F5388" w14:textId="2197FCC8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085B94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085B94" w:rsidRPr="00FF24B1" w:rsidRDefault="00085B94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085B94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085B94" w:rsidRPr="00FF24B1" w:rsidRDefault="00085B94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E0E98CF" w14:textId="2B946EB3" w:rsidR="00085B94" w:rsidRPr="00FF24B1" w:rsidRDefault="00085B94" w:rsidP="00085B94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</w:tcPr>
          <w:p w14:paraId="59ABB097" w14:textId="14586C1B" w:rsidR="00237522" w:rsidRPr="00FF24B1" w:rsidRDefault="00085B94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085B94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 w:val="restart"/>
          </w:tcPr>
          <w:p w14:paraId="35163B26" w14:textId="48E26002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proofErr w:type="spellStart"/>
            <w:r w:rsidRPr="00FF24B1">
              <w:t>Средство</w:t>
            </w:r>
            <w:proofErr w:type="spellEnd"/>
            <w:r w:rsidRPr="00FF24B1">
              <w:t xml:space="preserve"> </w:t>
            </w:r>
            <w:proofErr w:type="spellStart"/>
            <w:r w:rsidRPr="00FF24B1">
              <w:t>криптографической</w:t>
            </w:r>
            <w:proofErr w:type="spellEnd"/>
            <w:r w:rsidRPr="00FF24B1">
              <w:t xml:space="preserve"> </w:t>
            </w:r>
            <w:proofErr w:type="spellStart"/>
            <w:r w:rsidRPr="00FF24B1">
              <w:t>защиты</w:t>
            </w:r>
            <w:proofErr w:type="spellEnd"/>
            <w:r w:rsidRPr="00FF24B1">
              <w:t xml:space="preserve"> </w:t>
            </w:r>
            <w:proofErr w:type="spellStart"/>
            <w:r w:rsidRPr="00FF24B1">
              <w:t>информации</w:t>
            </w:r>
            <w:proofErr w:type="spellEnd"/>
          </w:p>
        </w:tc>
        <w:tc>
          <w:tcPr>
            <w:tcW w:w="852" w:type="dxa"/>
          </w:tcPr>
          <w:p w14:paraId="090C6600" w14:textId="77777777" w:rsidR="00085B94" w:rsidRDefault="00085B94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085B94" w:rsidRPr="00FF24B1" w:rsidRDefault="00085B94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085B94" w:rsidRPr="00FF24B1" w:rsidRDefault="00085B94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085B94" w:rsidRPr="000943B0" w:rsidRDefault="00085B94" w:rsidP="007D78A7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05.03.2021</w:t>
            </w:r>
          </w:p>
        </w:tc>
      </w:tr>
      <w:tr w:rsidR="00085B94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085B94" w:rsidRPr="008A219D" w:rsidRDefault="00085B94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701" w:type="dxa"/>
            <w:vMerge/>
          </w:tcPr>
          <w:p w14:paraId="271325BE" w14:textId="2EEA958E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085B94" w:rsidRDefault="00085B94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085B94" w:rsidRPr="00FF24B1" w:rsidRDefault="00085B94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085B94" w:rsidRPr="00FF24B1" w:rsidRDefault="00085B94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085B94" w:rsidRPr="00FF24B1" w:rsidRDefault="00085B94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6F1D2F48" w14:textId="3B5FE016" w:rsidR="00085B94" w:rsidRPr="000943B0" w:rsidRDefault="00085B94" w:rsidP="00085B94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1AA7095E" w14:textId="77777777" w:rsidTr="00085B94">
        <w:trPr>
          <w:trHeight w:val="3743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57C6D55" w14:textId="59FE8745" w:rsidR="008A219D" w:rsidRPr="00FF24B1" w:rsidRDefault="008A219D" w:rsidP="00085B94">
            <w:pPr>
              <w:pStyle w:val="af5"/>
              <w:ind w:left="-57" w:right="-57"/>
            </w:pPr>
            <w:r w:rsidRPr="00FF24B1">
              <w:rPr>
                <w:lang w:val="ru-RU"/>
              </w:rPr>
              <w:t>др. документации</w:t>
            </w: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085B94">
        <w:trPr>
          <w:trHeight w:val="3201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085B94">
        <w:trPr>
          <w:trHeight w:val="3743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2E65425A" w14:textId="08FB81D3" w:rsidR="00237522" w:rsidRPr="00FF24B1" w:rsidRDefault="008A219D" w:rsidP="00085B94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обнаружения и предотвращения утечек информации из информационных систем на соответствие </w:t>
            </w:r>
            <w:r w:rsidRPr="00FF24B1">
              <w:rPr>
                <w:lang w:val="ru-RU"/>
              </w:rPr>
              <w:lastRenderedPageBreak/>
              <w:t>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33420A85" w14:textId="2861550F" w:rsidR="00237522" w:rsidRPr="00FF24B1" w:rsidRDefault="008A219D" w:rsidP="00085B94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876B" w14:textId="77777777" w:rsidR="00480E21" w:rsidRDefault="00480E21" w:rsidP="0011070C">
      <w:r>
        <w:separator/>
      </w:r>
    </w:p>
  </w:endnote>
  <w:endnote w:type="continuationSeparator" w:id="0">
    <w:p w14:paraId="26E966C3" w14:textId="77777777" w:rsidR="00480E21" w:rsidRDefault="00480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6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3F8C18E" w:rsidR="002667A7" w:rsidRPr="00393F2B" w:rsidRDefault="00085B9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12.06.2026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6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A464AB7" w:rsidR="005D5C7B" w:rsidRPr="007624CE" w:rsidRDefault="00085B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12.06.2026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6118" w14:textId="77777777" w:rsidR="00480E21" w:rsidRDefault="00480E21" w:rsidP="0011070C">
      <w:r>
        <w:separator/>
      </w:r>
    </w:p>
  </w:footnote>
  <w:footnote w:type="continuationSeparator" w:id="0">
    <w:p w14:paraId="36C4CD64" w14:textId="77777777" w:rsidR="00480E21" w:rsidRDefault="00480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85B94"/>
    <w:rsid w:val="00090EA2"/>
    <w:rsid w:val="000943B0"/>
    <w:rsid w:val="000D49BB"/>
    <w:rsid w:val="000E2802"/>
    <w:rsid w:val="000E4EE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321B"/>
    <w:rsid w:val="003D7396"/>
    <w:rsid w:val="003D7438"/>
    <w:rsid w:val="003E26A2"/>
    <w:rsid w:val="003E6D8A"/>
    <w:rsid w:val="003F50C5"/>
    <w:rsid w:val="00401D49"/>
    <w:rsid w:val="00437E07"/>
    <w:rsid w:val="00460CAE"/>
    <w:rsid w:val="00480E21"/>
    <w:rsid w:val="004A5E4C"/>
    <w:rsid w:val="004B7C9C"/>
    <w:rsid w:val="004C241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A2020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885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A615E"/>
    <w:rsid w:val="007B12BE"/>
    <w:rsid w:val="007B3671"/>
    <w:rsid w:val="007D78A7"/>
    <w:rsid w:val="007F5916"/>
    <w:rsid w:val="00805C5D"/>
    <w:rsid w:val="00812332"/>
    <w:rsid w:val="00815611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D4B92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55D4A"/>
    <w:rsid w:val="00B73416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D0CE2"/>
    <w:rsid w:val="00CF4334"/>
    <w:rsid w:val="00D0641E"/>
    <w:rsid w:val="00D10C95"/>
    <w:rsid w:val="00D4744B"/>
    <w:rsid w:val="00D54A8A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3091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A72AC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1B10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4C241C"/>
    <w:rsid w:val="005029EC"/>
    <w:rsid w:val="00516AF1"/>
    <w:rsid w:val="00562D7C"/>
    <w:rsid w:val="00580F98"/>
    <w:rsid w:val="005A2020"/>
    <w:rsid w:val="005C3A33"/>
    <w:rsid w:val="005C4097"/>
    <w:rsid w:val="00607457"/>
    <w:rsid w:val="00684F82"/>
    <w:rsid w:val="00694660"/>
    <w:rsid w:val="00740CF2"/>
    <w:rsid w:val="007625F3"/>
    <w:rsid w:val="007B12BE"/>
    <w:rsid w:val="007D24A9"/>
    <w:rsid w:val="0080735D"/>
    <w:rsid w:val="0088729B"/>
    <w:rsid w:val="00982B5F"/>
    <w:rsid w:val="009B5D5E"/>
    <w:rsid w:val="00A13532"/>
    <w:rsid w:val="00A13F21"/>
    <w:rsid w:val="00A661C2"/>
    <w:rsid w:val="00A8053F"/>
    <w:rsid w:val="00AC0785"/>
    <w:rsid w:val="00AD4B92"/>
    <w:rsid w:val="00AF24FC"/>
    <w:rsid w:val="00B00858"/>
    <w:rsid w:val="00B11269"/>
    <w:rsid w:val="00B612C8"/>
    <w:rsid w:val="00B63D03"/>
    <w:rsid w:val="00BE676E"/>
    <w:rsid w:val="00BF3758"/>
    <w:rsid w:val="00BF72E5"/>
    <w:rsid w:val="00C55546"/>
    <w:rsid w:val="00C8094E"/>
    <w:rsid w:val="00C81014"/>
    <w:rsid w:val="00CC03D9"/>
    <w:rsid w:val="00CC7A3D"/>
    <w:rsid w:val="00CD0CE2"/>
    <w:rsid w:val="00D302E6"/>
    <w:rsid w:val="00D4744B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A72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2026-06-11T07:46:00Z</dcterms:created>
  <dcterms:modified xsi:type="dcterms:W3CDTF">2026-06-11T07:46:00Z</dcterms:modified>
</cp:coreProperties>
</file>