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CAE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4EF24F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096813C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69913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F4A60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92131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41EB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4A605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5FB77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60EF8E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76E61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B5EC7" w14:paraId="64A93B2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8E8CD96" w14:textId="77777777" w:rsidR="00403AD5" w:rsidRPr="00582A8F" w:rsidRDefault="00576ECB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23D7D2" w14:textId="77777777" w:rsidR="007B5EC7" w:rsidRDefault="00576EC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81B7572" w14:textId="77777777" w:rsidR="007B5EC7" w:rsidRDefault="00576EC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0756E4F" w14:textId="77777777" w:rsidR="007B5EC7" w:rsidRDefault="00576EC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41582A7" w14:textId="77777777" w:rsidR="007B5EC7" w:rsidRDefault="00576EC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841EBC0" w14:textId="77777777" w:rsidR="007B5EC7" w:rsidRDefault="00576EC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3FE0F9A" w14:textId="77777777" w:rsidR="007B5EC7" w:rsidRDefault="00576EC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B5EC7" w14:paraId="5CF09C53" w14:textId="77777777">
        <w:tc>
          <w:tcPr>
            <w:tcW w:w="290" w:type="pct"/>
          </w:tcPr>
          <w:p w14:paraId="4B4FD19D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0294A94" w14:textId="77777777" w:rsidR="007B5EC7" w:rsidRDefault="00576ECB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5B1EE1BC" w14:textId="77777777" w:rsidR="007B5EC7" w:rsidRDefault="00576ECB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70" w:type="pct"/>
          </w:tcPr>
          <w:p w14:paraId="4AC6DE8F" w14:textId="77777777" w:rsidR="007B5EC7" w:rsidRDefault="00576ECB">
            <w:pPr>
              <w:ind w:left="-84" w:right="-84"/>
            </w:pPr>
            <w:r>
              <w:rPr>
                <w:sz w:val="22"/>
              </w:rPr>
              <w:t>Единичный диаметр отверстия (ds).</w:t>
            </w:r>
            <w:r>
              <w:rPr>
                <w:sz w:val="22"/>
              </w:rPr>
              <w:br/>
              <w:t xml:space="preserve"> Отклонение единичного диаметра отверстия (∆ds).</w:t>
            </w:r>
            <w:r>
              <w:rPr>
                <w:sz w:val="22"/>
              </w:rPr>
              <w:br/>
              <w:t xml:space="preserve"> Непостоянство диаметра отверстия (Vds).</w:t>
            </w:r>
            <w:r>
              <w:rPr>
                <w:sz w:val="22"/>
              </w:rPr>
              <w:br/>
              <w:t xml:space="preserve"> Единичный диаметр отверстия в единичной плоскости (dsр).</w:t>
            </w:r>
            <w:r>
              <w:rPr>
                <w:sz w:val="22"/>
              </w:rPr>
              <w:br/>
              <w:t xml:space="preserve"> Отклонение единичного диаметра отверстия в единичной плоскости (∆dsp).</w:t>
            </w:r>
            <w:r>
              <w:rPr>
                <w:sz w:val="22"/>
              </w:rPr>
              <w:br/>
              <w:t xml:space="preserve"> Непостоянство диаметра отверстия в единичной плоскости (Vdsp).</w:t>
            </w:r>
            <w:r>
              <w:rPr>
                <w:sz w:val="22"/>
              </w:rPr>
              <w:br/>
              <w:t xml:space="preserve"> Средний диаметр отверстия (dm).</w:t>
            </w:r>
            <w:r>
              <w:rPr>
                <w:sz w:val="22"/>
              </w:rPr>
              <w:br/>
              <w:t xml:space="preserve"> Отклонение среднего диаметра отверстия (∆dm).</w:t>
            </w:r>
            <w:r>
              <w:rPr>
                <w:sz w:val="22"/>
              </w:rPr>
              <w:br/>
              <w:t xml:space="preserve"> Непостоянство среднего диаметра отверстия (Vdmp).</w:t>
            </w:r>
            <w:r>
              <w:rPr>
                <w:sz w:val="22"/>
              </w:rPr>
              <w:br/>
              <w:t xml:space="preserve"> Средний диаметр отверстия в единичной плоскости </w:t>
            </w:r>
            <w:r>
              <w:rPr>
                <w:sz w:val="22"/>
              </w:rPr>
              <w:lastRenderedPageBreak/>
              <w:t>(∆mp).</w:t>
            </w:r>
            <w:r>
              <w:rPr>
                <w:sz w:val="22"/>
              </w:rPr>
              <w:br/>
              <w:t xml:space="preserve"> Отклонение среднего диаметра отверстия в единичной плоскости (∆dmp).</w:t>
            </w:r>
            <w:r>
              <w:rPr>
                <w:sz w:val="22"/>
              </w:rPr>
              <w:br/>
              <w:t xml:space="preserve"> Отклонение угла конуса конического отверстия (∆d1mp-∆dmp).</w:t>
            </w:r>
          </w:p>
        </w:tc>
        <w:tc>
          <w:tcPr>
            <w:tcW w:w="875" w:type="pct"/>
            <w:vMerge w:val="restart"/>
          </w:tcPr>
          <w:p w14:paraId="4A54F80E" w14:textId="77777777" w:rsidR="007B5EC7" w:rsidRDefault="00576ECB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900" w:type="pct"/>
          </w:tcPr>
          <w:p w14:paraId="38BCFE56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9.15</w:t>
            </w:r>
          </w:p>
        </w:tc>
        <w:tc>
          <w:tcPr>
            <w:tcW w:w="835" w:type="pct"/>
            <w:vMerge w:val="restart"/>
          </w:tcPr>
          <w:p w14:paraId="45760D7F" w14:textId="77777777" w:rsidR="007B5EC7" w:rsidRDefault="00576ECB">
            <w:pPr>
              <w:ind w:left="-84" w:right="-84"/>
            </w:pPr>
            <w:r>
              <w:rPr>
                <w:sz w:val="22"/>
              </w:rPr>
              <w:t>центральная заводская лаборатория ОАО «МИНСКИЙ ПОДШИПНИКОВЫЙ ЗАВОД» (ул. Жилуновича, 220026, г. Минск)</w:t>
            </w:r>
          </w:p>
        </w:tc>
      </w:tr>
      <w:tr w:rsidR="007B5EC7" w14:paraId="41915F83" w14:textId="77777777">
        <w:tc>
          <w:tcPr>
            <w:tcW w:w="290" w:type="pct"/>
          </w:tcPr>
          <w:p w14:paraId="15A9F82B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4A23F32" w14:textId="77777777" w:rsidR="007B5EC7" w:rsidRDefault="007B5EC7"/>
        </w:tc>
        <w:tc>
          <w:tcPr>
            <w:tcW w:w="435" w:type="pct"/>
            <w:vMerge/>
          </w:tcPr>
          <w:p w14:paraId="4F5F3622" w14:textId="77777777" w:rsidR="007B5EC7" w:rsidRDefault="007B5EC7"/>
        </w:tc>
        <w:tc>
          <w:tcPr>
            <w:tcW w:w="970" w:type="pct"/>
          </w:tcPr>
          <w:p w14:paraId="12AC8F72" w14:textId="77777777" w:rsidR="007B5EC7" w:rsidRDefault="00576ECB">
            <w:pPr>
              <w:ind w:left="-84" w:right="-84"/>
            </w:pPr>
            <w:r>
              <w:rPr>
                <w:sz w:val="22"/>
              </w:rPr>
              <w:t>Единичный наружный диаметр (Ds).</w:t>
            </w:r>
            <w:r>
              <w:rPr>
                <w:sz w:val="22"/>
              </w:rPr>
              <w:br/>
              <w:t xml:space="preserve"> Отклонение единичного наружного диаметра (∆Ds).</w:t>
            </w:r>
            <w:r>
              <w:rPr>
                <w:sz w:val="22"/>
              </w:rPr>
              <w:br/>
              <w:t xml:space="preserve"> Непостоянство наружного диаметра (VDs).</w:t>
            </w:r>
            <w:r>
              <w:rPr>
                <w:sz w:val="22"/>
              </w:rPr>
              <w:br/>
              <w:t xml:space="preserve"> Единичный наружный диаметр в единичной плоскости (Dsp).</w:t>
            </w:r>
            <w:r>
              <w:rPr>
                <w:sz w:val="22"/>
              </w:rPr>
              <w:br/>
              <w:t xml:space="preserve"> Непостоянство наружного диаметра в единичной плоскости (VDsp).</w:t>
            </w:r>
            <w:r>
              <w:rPr>
                <w:sz w:val="22"/>
              </w:rPr>
              <w:br/>
              <w:t xml:space="preserve"> Средний наружный диаметр (Dm).</w:t>
            </w:r>
            <w:r>
              <w:rPr>
                <w:sz w:val="22"/>
              </w:rPr>
              <w:br/>
              <w:t xml:space="preserve"> Отклонение среднего наружного диаметра (∆Dm).</w:t>
            </w:r>
            <w:r>
              <w:rPr>
                <w:sz w:val="22"/>
              </w:rPr>
              <w:br/>
              <w:t xml:space="preserve"> Непостоянство среднего наружного диаметра (∆Dmp).</w:t>
            </w:r>
            <w:r>
              <w:rPr>
                <w:sz w:val="22"/>
              </w:rPr>
              <w:br/>
              <w:t xml:space="preserve"> Средний наружный диаметр в единичной плоскости (Dmp).</w:t>
            </w:r>
            <w:r>
              <w:rPr>
                <w:sz w:val="22"/>
              </w:rPr>
              <w:br/>
              <w:t xml:space="preserve"> Отклонение среднего наружного диаметра в единичной плоскости (∆Dmp).</w:t>
            </w:r>
            <w:r>
              <w:rPr>
                <w:sz w:val="22"/>
              </w:rPr>
              <w:br/>
              <w:t xml:space="preserve"> Непостоянство среднего наружного диаметра (VDmp).</w:t>
            </w:r>
          </w:p>
        </w:tc>
        <w:tc>
          <w:tcPr>
            <w:tcW w:w="875" w:type="pct"/>
            <w:vMerge/>
          </w:tcPr>
          <w:p w14:paraId="0107BAC5" w14:textId="77777777" w:rsidR="007B5EC7" w:rsidRDefault="007B5EC7"/>
        </w:tc>
        <w:tc>
          <w:tcPr>
            <w:tcW w:w="900" w:type="pct"/>
          </w:tcPr>
          <w:p w14:paraId="2094CD71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9.16</w:t>
            </w:r>
          </w:p>
        </w:tc>
        <w:tc>
          <w:tcPr>
            <w:tcW w:w="835" w:type="pct"/>
            <w:vMerge/>
          </w:tcPr>
          <w:p w14:paraId="079A3289" w14:textId="77777777" w:rsidR="007B5EC7" w:rsidRDefault="007B5EC7"/>
        </w:tc>
      </w:tr>
      <w:tr w:rsidR="007B5EC7" w14:paraId="29E4F3C8" w14:textId="77777777">
        <w:tc>
          <w:tcPr>
            <w:tcW w:w="290" w:type="pct"/>
          </w:tcPr>
          <w:p w14:paraId="010A0D75" w14:textId="77777777" w:rsidR="007B5EC7" w:rsidRDefault="00576ECB">
            <w:pPr>
              <w:ind w:left="-84" w:right="-84"/>
            </w:pPr>
            <w:r>
              <w:rPr>
                <w:sz w:val="22"/>
              </w:rPr>
              <w:lastRenderedPageBreak/>
              <w:t>1.3* ТР</w:t>
            </w:r>
          </w:p>
        </w:tc>
        <w:tc>
          <w:tcPr>
            <w:tcW w:w="680" w:type="pct"/>
            <w:vMerge/>
          </w:tcPr>
          <w:p w14:paraId="79B2E9AA" w14:textId="77777777" w:rsidR="007B5EC7" w:rsidRDefault="007B5EC7"/>
        </w:tc>
        <w:tc>
          <w:tcPr>
            <w:tcW w:w="435" w:type="pct"/>
            <w:vMerge/>
          </w:tcPr>
          <w:p w14:paraId="5FBB0662" w14:textId="77777777" w:rsidR="007B5EC7" w:rsidRDefault="007B5EC7"/>
        </w:tc>
        <w:tc>
          <w:tcPr>
            <w:tcW w:w="970" w:type="pct"/>
          </w:tcPr>
          <w:p w14:paraId="24F0CB13" w14:textId="77777777" w:rsidR="007B5EC7" w:rsidRDefault="00576ECB">
            <w:pPr>
              <w:ind w:left="-84" w:right="-84"/>
            </w:pPr>
            <w:r>
              <w:rPr>
                <w:sz w:val="22"/>
              </w:rPr>
              <w:t>Единичная ширина отдельных колец и колец собранных подшипников (Bs, Cs).</w:t>
            </w:r>
            <w:r>
              <w:rPr>
                <w:sz w:val="22"/>
              </w:rPr>
              <w:br/>
              <w:t xml:space="preserve"> Отклонение единичной ширины отдельных колец и колец собранных подшипников (∆Вs, ∆Cs).</w:t>
            </w:r>
            <w:r>
              <w:rPr>
                <w:sz w:val="22"/>
              </w:rPr>
              <w:br/>
              <w:t xml:space="preserve"> Непостоянство ширины отдельных колец и колец собранных подшипников (VВs, VCs).</w:t>
            </w:r>
            <w:r>
              <w:rPr>
                <w:sz w:val="22"/>
              </w:rPr>
              <w:br/>
              <w:t xml:space="preserve"> Средняя ширина внутреннего кольца (Bm).</w:t>
            </w:r>
            <w:r>
              <w:rPr>
                <w:sz w:val="22"/>
              </w:rPr>
              <w:br/>
              <w:t xml:space="preserve"> Средняя ширина наружного кольца (Cm).</w:t>
            </w:r>
            <w:r>
              <w:rPr>
                <w:sz w:val="22"/>
              </w:rPr>
              <w:br/>
              <w:t xml:space="preserve"> Отклонение монтажной высоты подшипника (∆Тs, ∆Hs).</w:t>
            </w:r>
          </w:p>
        </w:tc>
        <w:tc>
          <w:tcPr>
            <w:tcW w:w="875" w:type="pct"/>
            <w:vMerge/>
          </w:tcPr>
          <w:p w14:paraId="44AB59D7" w14:textId="77777777" w:rsidR="007B5EC7" w:rsidRDefault="007B5EC7"/>
        </w:tc>
        <w:tc>
          <w:tcPr>
            <w:tcW w:w="900" w:type="pct"/>
          </w:tcPr>
          <w:p w14:paraId="7CA260F2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9.17, 9.19, 9.20, 9.21</w:t>
            </w:r>
          </w:p>
        </w:tc>
        <w:tc>
          <w:tcPr>
            <w:tcW w:w="835" w:type="pct"/>
            <w:vMerge/>
          </w:tcPr>
          <w:p w14:paraId="7C6E2DEE" w14:textId="77777777" w:rsidR="007B5EC7" w:rsidRDefault="007B5EC7"/>
        </w:tc>
      </w:tr>
      <w:tr w:rsidR="007B5EC7" w14:paraId="7C64E21E" w14:textId="77777777">
        <w:tc>
          <w:tcPr>
            <w:tcW w:w="290" w:type="pct"/>
          </w:tcPr>
          <w:p w14:paraId="4F68FDEC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09E21E67" w14:textId="77777777" w:rsidR="007B5EC7" w:rsidRDefault="007B5EC7"/>
        </w:tc>
        <w:tc>
          <w:tcPr>
            <w:tcW w:w="435" w:type="pct"/>
            <w:vMerge/>
          </w:tcPr>
          <w:p w14:paraId="42B51CD3" w14:textId="77777777" w:rsidR="007B5EC7" w:rsidRDefault="007B5EC7"/>
        </w:tc>
        <w:tc>
          <w:tcPr>
            <w:tcW w:w="970" w:type="pct"/>
          </w:tcPr>
          <w:p w14:paraId="391FA877" w14:textId="77777777" w:rsidR="007B5EC7" w:rsidRDefault="00576ECB">
            <w:pPr>
              <w:ind w:left="-84" w:right="-84"/>
            </w:pPr>
            <w:r>
              <w:rPr>
                <w:sz w:val="22"/>
              </w:rPr>
              <w:t>Радиальный внутренний зазор подшипника (Gr)</w:t>
            </w:r>
          </w:p>
        </w:tc>
        <w:tc>
          <w:tcPr>
            <w:tcW w:w="875" w:type="pct"/>
          </w:tcPr>
          <w:p w14:paraId="0E8EA098" w14:textId="77777777" w:rsidR="007B5EC7" w:rsidRDefault="00576EC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7.8; ТНПА и другая документация</w:t>
            </w:r>
          </w:p>
        </w:tc>
        <w:tc>
          <w:tcPr>
            <w:tcW w:w="900" w:type="pct"/>
          </w:tcPr>
          <w:p w14:paraId="10B3A603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9.39</w:t>
            </w:r>
          </w:p>
        </w:tc>
        <w:tc>
          <w:tcPr>
            <w:tcW w:w="835" w:type="pct"/>
            <w:vMerge/>
          </w:tcPr>
          <w:p w14:paraId="56F47CCE" w14:textId="77777777" w:rsidR="007B5EC7" w:rsidRDefault="007B5EC7"/>
        </w:tc>
      </w:tr>
      <w:tr w:rsidR="007B5EC7" w14:paraId="6432F3ED" w14:textId="77777777">
        <w:tc>
          <w:tcPr>
            <w:tcW w:w="290" w:type="pct"/>
          </w:tcPr>
          <w:p w14:paraId="45439FB2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4E5240D0" w14:textId="77777777" w:rsidR="007B5EC7" w:rsidRDefault="007B5EC7"/>
        </w:tc>
        <w:tc>
          <w:tcPr>
            <w:tcW w:w="435" w:type="pct"/>
            <w:vMerge/>
          </w:tcPr>
          <w:p w14:paraId="448D3A89" w14:textId="77777777" w:rsidR="007B5EC7" w:rsidRDefault="007B5EC7"/>
        </w:tc>
        <w:tc>
          <w:tcPr>
            <w:tcW w:w="970" w:type="pct"/>
          </w:tcPr>
          <w:p w14:paraId="790B84D7" w14:textId="77777777" w:rsidR="007B5EC7" w:rsidRDefault="00576ECB">
            <w:pPr>
              <w:ind w:left="-84" w:right="-84"/>
            </w:pPr>
            <w:r>
              <w:rPr>
                <w:sz w:val="22"/>
              </w:rPr>
              <w:t>Радиальное биение внутреннего кольца собранного подшипника (Kia).</w:t>
            </w:r>
          </w:p>
        </w:tc>
        <w:tc>
          <w:tcPr>
            <w:tcW w:w="875" w:type="pct"/>
            <w:vMerge w:val="restart"/>
          </w:tcPr>
          <w:p w14:paraId="49F41B99" w14:textId="77777777" w:rsidR="007B5EC7" w:rsidRDefault="00576EC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900" w:type="pct"/>
          </w:tcPr>
          <w:p w14:paraId="34D3A136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9.26, 9.27</w:t>
            </w:r>
          </w:p>
        </w:tc>
        <w:tc>
          <w:tcPr>
            <w:tcW w:w="835" w:type="pct"/>
            <w:vMerge/>
          </w:tcPr>
          <w:p w14:paraId="35DC6C49" w14:textId="77777777" w:rsidR="007B5EC7" w:rsidRDefault="007B5EC7"/>
        </w:tc>
      </w:tr>
      <w:tr w:rsidR="007B5EC7" w14:paraId="70369204" w14:textId="77777777">
        <w:tc>
          <w:tcPr>
            <w:tcW w:w="290" w:type="pct"/>
          </w:tcPr>
          <w:p w14:paraId="11C4A8E9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4090B601" w14:textId="77777777" w:rsidR="007B5EC7" w:rsidRDefault="007B5EC7"/>
        </w:tc>
        <w:tc>
          <w:tcPr>
            <w:tcW w:w="435" w:type="pct"/>
            <w:vMerge/>
          </w:tcPr>
          <w:p w14:paraId="0AA32985" w14:textId="77777777" w:rsidR="007B5EC7" w:rsidRDefault="007B5EC7"/>
        </w:tc>
        <w:tc>
          <w:tcPr>
            <w:tcW w:w="970" w:type="pct"/>
          </w:tcPr>
          <w:p w14:paraId="307C8F09" w14:textId="77777777" w:rsidR="007B5EC7" w:rsidRDefault="00576ECB">
            <w:pPr>
              <w:ind w:left="-84" w:right="-84"/>
            </w:pPr>
            <w:r>
              <w:rPr>
                <w:sz w:val="22"/>
              </w:rPr>
              <w:t>Радиальное биение наружного кольца собранного подшипника (Kea).</w:t>
            </w:r>
          </w:p>
        </w:tc>
        <w:tc>
          <w:tcPr>
            <w:tcW w:w="875" w:type="pct"/>
            <w:vMerge/>
          </w:tcPr>
          <w:p w14:paraId="35881D31" w14:textId="77777777" w:rsidR="007B5EC7" w:rsidRDefault="007B5EC7"/>
        </w:tc>
        <w:tc>
          <w:tcPr>
            <w:tcW w:w="900" w:type="pct"/>
          </w:tcPr>
          <w:p w14:paraId="41D4C13C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9.28, 9.29</w:t>
            </w:r>
          </w:p>
        </w:tc>
        <w:tc>
          <w:tcPr>
            <w:tcW w:w="835" w:type="pct"/>
            <w:vMerge/>
          </w:tcPr>
          <w:p w14:paraId="1A05EBDF" w14:textId="77777777" w:rsidR="007B5EC7" w:rsidRDefault="007B5EC7"/>
        </w:tc>
      </w:tr>
      <w:tr w:rsidR="007B5EC7" w14:paraId="20130008" w14:textId="77777777">
        <w:tc>
          <w:tcPr>
            <w:tcW w:w="290" w:type="pct"/>
          </w:tcPr>
          <w:p w14:paraId="788C92A5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43E2B30F" w14:textId="77777777" w:rsidR="007B5EC7" w:rsidRDefault="007B5EC7"/>
        </w:tc>
        <w:tc>
          <w:tcPr>
            <w:tcW w:w="435" w:type="pct"/>
            <w:vMerge/>
          </w:tcPr>
          <w:p w14:paraId="6AFC2EAC" w14:textId="77777777" w:rsidR="007B5EC7" w:rsidRDefault="007B5EC7"/>
        </w:tc>
        <w:tc>
          <w:tcPr>
            <w:tcW w:w="970" w:type="pct"/>
          </w:tcPr>
          <w:p w14:paraId="67976FB9" w14:textId="77777777" w:rsidR="007B5EC7" w:rsidRDefault="00576ECB">
            <w:pPr>
              <w:ind w:left="-84" w:right="-84"/>
            </w:pPr>
            <w:r>
              <w:rPr>
                <w:sz w:val="22"/>
              </w:rPr>
              <w:t>Осевое биение внутреннего кольца собранного подшипника (Sia).</w:t>
            </w:r>
          </w:p>
        </w:tc>
        <w:tc>
          <w:tcPr>
            <w:tcW w:w="875" w:type="pct"/>
            <w:vMerge/>
          </w:tcPr>
          <w:p w14:paraId="37A5F422" w14:textId="77777777" w:rsidR="007B5EC7" w:rsidRDefault="007B5EC7"/>
        </w:tc>
        <w:tc>
          <w:tcPr>
            <w:tcW w:w="900" w:type="pct"/>
          </w:tcPr>
          <w:p w14:paraId="749393B7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9.30</w:t>
            </w:r>
          </w:p>
        </w:tc>
        <w:tc>
          <w:tcPr>
            <w:tcW w:w="835" w:type="pct"/>
            <w:vMerge/>
          </w:tcPr>
          <w:p w14:paraId="5C96CBBD" w14:textId="77777777" w:rsidR="007B5EC7" w:rsidRDefault="007B5EC7"/>
        </w:tc>
      </w:tr>
      <w:tr w:rsidR="007B5EC7" w14:paraId="0392EB89" w14:textId="77777777">
        <w:tc>
          <w:tcPr>
            <w:tcW w:w="290" w:type="pct"/>
          </w:tcPr>
          <w:p w14:paraId="13F4FBBD" w14:textId="77777777" w:rsidR="007B5EC7" w:rsidRDefault="00576ECB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/>
          </w:tcPr>
          <w:p w14:paraId="386A4A6B" w14:textId="77777777" w:rsidR="007B5EC7" w:rsidRDefault="007B5EC7"/>
        </w:tc>
        <w:tc>
          <w:tcPr>
            <w:tcW w:w="435" w:type="pct"/>
            <w:vMerge/>
          </w:tcPr>
          <w:p w14:paraId="60B5ACA8" w14:textId="77777777" w:rsidR="007B5EC7" w:rsidRDefault="007B5EC7"/>
        </w:tc>
        <w:tc>
          <w:tcPr>
            <w:tcW w:w="970" w:type="pct"/>
          </w:tcPr>
          <w:p w14:paraId="34AD954E" w14:textId="77777777" w:rsidR="007B5EC7" w:rsidRDefault="00576ECB">
            <w:pPr>
              <w:ind w:left="-84" w:right="-84"/>
            </w:pPr>
            <w:r>
              <w:rPr>
                <w:sz w:val="22"/>
              </w:rPr>
              <w:t>Осевое биение наружного кольца собранного подшипника (Sea).</w:t>
            </w:r>
          </w:p>
        </w:tc>
        <w:tc>
          <w:tcPr>
            <w:tcW w:w="875" w:type="pct"/>
            <w:vMerge/>
          </w:tcPr>
          <w:p w14:paraId="024596E0" w14:textId="77777777" w:rsidR="007B5EC7" w:rsidRDefault="007B5EC7"/>
        </w:tc>
        <w:tc>
          <w:tcPr>
            <w:tcW w:w="900" w:type="pct"/>
          </w:tcPr>
          <w:p w14:paraId="42B9B211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9.31</w:t>
            </w:r>
          </w:p>
        </w:tc>
        <w:tc>
          <w:tcPr>
            <w:tcW w:w="835" w:type="pct"/>
            <w:vMerge/>
          </w:tcPr>
          <w:p w14:paraId="68F113D6" w14:textId="77777777" w:rsidR="007B5EC7" w:rsidRDefault="007B5EC7"/>
        </w:tc>
      </w:tr>
      <w:tr w:rsidR="007B5EC7" w14:paraId="7C9B1608" w14:textId="77777777">
        <w:tc>
          <w:tcPr>
            <w:tcW w:w="290" w:type="pct"/>
          </w:tcPr>
          <w:p w14:paraId="3662A4BC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0156A275" w14:textId="77777777" w:rsidR="007B5EC7" w:rsidRDefault="007B5EC7"/>
        </w:tc>
        <w:tc>
          <w:tcPr>
            <w:tcW w:w="435" w:type="pct"/>
            <w:vMerge/>
          </w:tcPr>
          <w:p w14:paraId="73A31407" w14:textId="77777777" w:rsidR="007B5EC7" w:rsidRDefault="007B5EC7"/>
        </w:tc>
        <w:tc>
          <w:tcPr>
            <w:tcW w:w="970" w:type="pct"/>
          </w:tcPr>
          <w:p w14:paraId="52445338" w14:textId="77777777" w:rsidR="007B5EC7" w:rsidRDefault="00576ECB">
            <w:pPr>
              <w:ind w:left="-84" w:right="-84"/>
            </w:pPr>
            <w:r>
              <w:rPr>
                <w:sz w:val="22"/>
              </w:rPr>
              <w:t>Разностенность по дорожке качения внутреннего кольца относительно отверстия (Ki).</w:t>
            </w:r>
          </w:p>
        </w:tc>
        <w:tc>
          <w:tcPr>
            <w:tcW w:w="875" w:type="pct"/>
            <w:vMerge/>
          </w:tcPr>
          <w:p w14:paraId="22396855" w14:textId="77777777" w:rsidR="007B5EC7" w:rsidRDefault="007B5EC7"/>
        </w:tc>
        <w:tc>
          <w:tcPr>
            <w:tcW w:w="900" w:type="pct"/>
          </w:tcPr>
          <w:p w14:paraId="0F644851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9.33, 9.34, 9.35</w:t>
            </w:r>
          </w:p>
        </w:tc>
        <w:tc>
          <w:tcPr>
            <w:tcW w:w="835" w:type="pct"/>
            <w:vMerge/>
          </w:tcPr>
          <w:p w14:paraId="15371130" w14:textId="77777777" w:rsidR="007B5EC7" w:rsidRDefault="007B5EC7"/>
        </w:tc>
      </w:tr>
      <w:tr w:rsidR="007B5EC7" w14:paraId="6A12979F" w14:textId="77777777">
        <w:tc>
          <w:tcPr>
            <w:tcW w:w="290" w:type="pct"/>
          </w:tcPr>
          <w:p w14:paraId="64A92891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48861FA9" w14:textId="77777777" w:rsidR="007B5EC7" w:rsidRDefault="007B5EC7"/>
        </w:tc>
        <w:tc>
          <w:tcPr>
            <w:tcW w:w="435" w:type="pct"/>
            <w:vMerge/>
          </w:tcPr>
          <w:p w14:paraId="5C798031" w14:textId="77777777" w:rsidR="007B5EC7" w:rsidRDefault="007B5EC7"/>
        </w:tc>
        <w:tc>
          <w:tcPr>
            <w:tcW w:w="970" w:type="pct"/>
          </w:tcPr>
          <w:p w14:paraId="3C37C3EC" w14:textId="77777777" w:rsidR="007B5EC7" w:rsidRDefault="00576ECB">
            <w:pPr>
              <w:ind w:left="-84" w:right="-84"/>
            </w:pPr>
            <w:r>
              <w:rPr>
                <w:sz w:val="22"/>
              </w:rPr>
              <w:t>Разностенность по дорожке качения наружного кольца относительно наружной поверхности (Ke).</w:t>
            </w:r>
          </w:p>
        </w:tc>
        <w:tc>
          <w:tcPr>
            <w:tcW w:w="875" w:type="pct"/>
            <w:vMerge/>
          </w:tcPr>
          <w:p w14:paraId="426412B2" w14:textId="77777777" w:rsidR="007B5EC7" w:rsidRDefault="007B5EC7"/>
        </w:tc>
        <w:tc>
          <w:tcPr>
            <w:tcW w:w="900" w:type="pct"/>
          </w:tcPr>
          <w:p w14:paraId="142E07F7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9.33, 9.34</w:t>
            </w:r>
          </w:p>
        </w:tc>
        <w:tc>
          <w:tcPr>
            <w:tcW w:w="835" w:type="pct"/>
            <w:vMerge/>
          </w:tcPr>
          <w:p w14:paraId="44F44547" w14:textId="77777777" w:rsidR="007B5EC7" w:rsidRDefault="007B5EC7"/>
        </w:tc>
      </w:tr>
      <w:tr w:rsidR="007B5EC7" w14:paraId="6BECE00B" w14:textId="77777777">
        <w:tc>
          <w:tcPr>
            <w:tcW w:w="290" w:type="pct"/>
          </w:tcPr>
          <w:p w14:paraId="664F9F01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1793C6F4" w14:textId="77777777" w:rsidR="007B5EC7" w:rsidRDefault="007B5EC7"/>
        </w:tc>
        <w:tc>
          <w:tcPr>
            <w:tcW w:w="435" w:type="pct"/>
            <w:vMerge/>
          </w:tcPr>
          <w:p w14:paraId="1B442D19" w14:textId="77777777" w:rsidR="007B5EC7" w:rsidRDefault="007B5EC7"/>
        </w:tc>
        <w:tc>
          <w:tcPr>
            <w:tcW w:w="970" w:type="pct"/>
          </w:tcPr>
          <w:p w14:paraId="2182E33D" w14:textId="77777777" w:rsidR="007B5EC7" w:rsidRDefault="00576ECB">
            <w:pPr>
              <w:ind w:left="-84" w:right="-84"/>
            </w:pPr>
            <w:r>
              <w:rPr>
                <w:sz w:val="22"/>
              </w:rPr>
              <w:t>Параллельность дорожки качения внутреннего кольца относительно торца (Si).</w:t>
            </w:r>
            <w:r>
              <w:rPr>
                <w:sz w:val="22"/>
              </w:rPr>
              <w:br/>
              <w:t xml:space="preserve"> Параллельность дорожки качения наружного кольца относительно торца (Se).</w:t>
            </w:r>
          </w:p>
        </w:tc>
        <w:tc>
          <w:tcPr>
            <w:tcW w:w="875" w:type="pct"/>
            <w:vMerge/>
          </w:tcPr>
          <w:p w14:paraId="355455C1" w14:textId="77777777" w:rsidR="007B5EC7" w:rsidRDefault="007B5EC7"/>
        </w:tc>
        <w:tc>
          <w:tcPr>
            <w:tcW w:w="900" w:type="pct"/>
          </w:tcPr>
          <w:p w14:paraId="7F6AA899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9.37</w:t>
            </w:r>
          </w:p>
        </w:tc>
        <w:tc>
          <w:tcPr>
            <w:tcW w:w="835" w:type="pct"/>
            <w:vMerge/>
          </w:tcPr>
          <w:p w14:paraId="39D2ED78" w14:textId="77777777" w:rsidR="007B5EC7" w:rsidRDefault="007B5EC7"/>
        </w:tc>
      </w:tr>
      <w:tr w:rsidR="007B5EC7" w14:paraId="05B4CA45" w14:textId="77777777">
        <w:tc>
          <w:tcPr>
            <w:tcW w:w="290" w:type="pct"/>
          </w:tcPr>
          <w:p w14:paraId="795C02D3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59E54A2B" w14:textId="77777777" w:rsidR="007B5EC7" w:rsidRDefault="007B5EC7"/>
        </w:tc>
        <w:tc>
          <w:tcPr>
            <w:tcW w:w="435" w:type="pct"/>
            <w:vMerge/>
          </w:tcPr>
          <w:p w14:paraId="4C5B34A7" w14:textId="77777777" w:rsidR="007B5EC7" w:rsidRDefault="007B5EC7"/>
        </w:tc>
        <w:tc>
          <w:tcPr>
            <w:tcW w:w="970" w:type="pct"/>
          </w:tcPr>
          <w:p w14:paraId="61FFCD1F" w14:textId="77777777" w:rsidR="007B5EC7" w:rsidRDefault="00576ECB">
            <w:pPr>
              <w:ind w:left="-84" w:right="-84"/>
            </w:pPr>
            <w:r>
              <w:rPr>
                <w:sz w:val="22"/>
              </w:rPr>
              <w:t>Перпендикулярность торца внутреннего кольца относительно отверстия (Sd).</w:t>
            </w:r>
          </w:p>
        </w:tc>
        <w:tc>
          <w:tcPr>
            <w:tcW w:w="875" w:type="pct"/>
            <w:vMerge/>
          </w:tcPr>
          <w:p w14:paraId="2D6D1207" w14:textId="77777777" w:rsidR="007B5EC7" w:rsidRDefault="007B5EC7"/>
        </w:tc>
        <w:tc>
          <w:tcPr>
            <w:tcW w:w="900" w:type="pct"/>
          </w:tcPr>
          <w:p w14:paraId="4C59625F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9.23</w:t>
            </w:r>
          </w:p>
        </w:tc>
        <w:tc>
          <w:tcPr>
            <w:tcW w:w="835" w:type="pct"/>
            <w:vMerge/>
          </w:tcPr>
          <w:p w14:paraId="1C1FA976" w14:textId="77777777" w:rsidR="007B5EC7" w:rsidRDefault="007B5EC7"/>
        </w:tc>
      </w:tr>
      <w:tr w:rsidR="007B5EC7" w14:paraId="38AD64E2" w14:textId="77777777">
        <w:tc>
          <w:tcPr>
            <w:tcW w:w="290" w:type="pct"/>
          </w:tcPr>
          <w:p w14:paraId="03C0679A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07532AB5" w14:textId="77777777" w:rsidR="007B5EC7" w:rsidRDefault="007B5EC7"/>
        </w:tc>
        <w:tc>
          <w:tcPr>
            <w:tcW w:w="435" w:type="pct"/>
            <w:vMerge/>
          </w:tcPr>
          <w:p w14:paraId="1C9A183B" w14:textId="77777777" w:rsidR="007B5EC7" w:rsidRDefault="007B5EC7"/>
        </w:tc>
        <w:tc>
          <w:tcPr>
            <w:tcW w:w="970" w:type="pct"/>
          </w:tcPr>
          <w:p w14:paraId="5EA044EE" w14:textId="77777777" w:rsidR="007B5EC7" w:rsidRDefault="00576ECB">
            <w:pPr>
              <w:ind w:left="-84" w:right="-84"/>
            </w:pPr>
            <w:r>
              <w:rPr>
                <w:sz w:val="22"/>
              </w:rPr>
              <w:t>Перпендикулярность наружной поверхности наружного кольца относительно торца (SD).</w:t>
            </w:r>
          </w:p>
        </w:tc>
        <w:tc>
          <w:tcPr>
            <w:tcW w:w="875" w:type="pct"/>
            <w:vMerge/>
          </w:tcPr>
          <w:p w14:paraId="458152D3" w14:textId="77777777" w:rsidR="007B5EC7" w:rsidRDefault="007B5EC7"/>
        </w:tc>
        <w:tc>
          <w:tcPr>
            <w:tcW w:w="900" w:type="pct"/>
          </w:tcPr>
          <w:p w14:paraId="0D5345DE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9.24</w:t>
            </w:r>
          </w:p>
        </w:tc>
        <w:tc>
          <w:tcPr>
            <w:tcW w:w="835" w:type="pct"/>
            <w:vMerge/>
          </w:tcPr>
          <w:p w14:paraId="4EAC07A0" w14:textId="77777777" w:rsidR="007B5EC7" w:rsidRDefault="007B5EC7"/>
        </w:tc>
      </w:tr>
      <w:tr w:rsidR="007B5EC7" w14:paraId="4CBDCFCB" w14:textId="77777777">
        <w:trPr>
          <w:trHeight w:val="230"/>
        </w:trPr>
        <w:tc>
          <w:tcPr>
            <w:tcW w:w="290" w:type="pct"/>
            <w:vMerge w:val="restart"/>
          </w:tcPr>
          <w:p w14:paraId="6F04112F" w14:textId="77777777" w:rsidR="007B5EC7" w:rsidRDefault="00576ECB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0A14252C" w14:textId="77777777" w:rsidR="007B5EC7" w:rsidRDefault="007B5EC7"/>
        </w:tc>
        <w:tc>
          <w:tcPr>
            <w:tcW w:w="435" w:type="pct"/>
            <w:vMerge w:val="restart"/>
          </w:tcPr>
          <w:p w14:paraId="41E2CE71" w14:textId="77777777" w:rsidR="007B5EC7" w:rsidRDefault="00576ECB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70" w:type="pct"/>
            <w:vMerge w:val="restart"/>
          </w:tcPr>
          <w:p w14:paraId="3516AD80" w14:textId="77777777" w:rsidR="007B5EC7" w:rsidRDefault="00576ECB">
            <w:pPr>
              <w:ind w:left="-84" w:right="-84"/>
            </w:pPr>
            <w:r>
              <w:rPr>
                <w:sz w:val="22"/>
              </w:rPr>
              <w:t>Твёрдость по Роквеллу (HRC)</w:t>
            </w:r>
          </w:p>
        </w:tc>
        <w:tc>
          <w:tcPr>
            <w:tcW w:w="875" w:type="pct"/>
            <w:vMerge w:val="restart"/>
          </w:tcPr>
          <w:p w14:paraId="420AE948" w14:textId="77777777" w:rsidR="007B5EC7" w:rsidRDefault="00576EC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7.3, 7.4; ТНПА и другая документация</w:t>
            </w:r>
          </w:p>
        </w:tc>
        <w:tc>
          <w:tcPr>
            <w:tcW w:w="900" w:type="pct"/>
            <w:vMerge w:val="restart"/>
          </w:tcPr>
          <w:p w14:paraId="37A44A92" w14:textId="77777777" w:rsidR="007B5EC7" w:rsidRDefault="00576ECB">
            <w:pPr>
              <w:ind w:left="-84" w:right="-84"/>
            </w:pPr>
            <w:r>
              <w:rPr>
                <w:sz w:val="22"/>
              </w:rPr>
              <w:t>ГОСТ 520-2011 п. 9.2</w:t>
            </w:r>
          </w:p>
        </w:tc>
        <w:tc>
          <w:tcPr>
            <w:tcW w:w="835" w:type="pct"/>
            <w:vMerge/>
          </w:tcPr>
          <w:p w14:paraId="34CD8D98" w14:textId="77777777" w:rsidR="007B5EC7" w:rsidRDefault="007B5EC7"/>
        </w:tc>
      </w:tr>
    </w:tbl>
    <w:p w14:paraId="28D974D7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272B" w14:textId="77777777" w:rsidR="00A82E98" w:rsidRDefault="00A82E98" w:rsidP="0011070C">
      <w:r>
        <w:separator/>
      </w:r>
    </w:p>
  </w:endnote>
  <w:endnote w:type="continuationSeparator" w:id="0">
    <w:p w14:paraId="708F4904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CA35AFF" w14:textId="77777777" w:rsidR="009E36F8" w:rsidRDefault="009E36F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EC587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8EB7A5" w14:textId="31CBA0EA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9E36F8">
            <w:rPr>
              <w:rFonts w:eastAsia="ArialMT"/>
              <w:sz w:val="18"/>
              <w:szCs w:val="18"/>
              <w:lang w:val="ru-RU"/>
            </w:rPr>
            <w:t xml:space="preserve"> 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27EE4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0A4B5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DB3BAC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858A59" w14:textId="62B5928B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E36F8">
            <w:rPr>
              <w:rFonts w:eastAsia="ArialMT"/>
              <w:sz w:val="18"/>
              <w:szCs w:val="18"/>
            </w:rPr>
            <w:t xml:space="preserve"> 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11970D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09DEC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11395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4A1D" w14:textId="77777777" w:rsidR="00A82E98" w:rsidRDefault="00A82E98" w:rsidP="0011070C">
      <w:r>
        <w:separator/>
      </w:r>
    </w:p>
  </w:footnote>
  <w:footnote w:type="continuationSeparator" w:id="0">
    <w:p w14:paraId="1BBA0AB6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3536" w14:textId="77777777" w:rsidR="009E36F8" w:rsidRDefault="009E36F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A7672E" w:rsidRPr="00246BB6" w14:paraId="1E002741" w14:textId="77777777" w:rsidTr="009E36F8">
      <w:trPr>
        <w:trHeight w:val="221"/>
      </w:trPr>
      <w:tc>
        <w:tcPr>
          <w:tcW w:w="12044" w:type="dxa"/>
          <w:vAlign w:val="center"/>
        </w:tcPr>
        <w:p w14:paraId="12E473C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2" w:type="dxa"/>
          <w:vAlign w:val="center"/>
        </w:tcPr>
        <w:p w14:paraId="613A8B5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2.0067</w:t>
          </w:r>
        </w:p>
      </w:tc>
    </w:tr>
  </w:tbl>
  <w:p w14:paraId="06EEA74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B9D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2235F330" w14:textId="77777777" w:rsidTr="009E36F8">
      <w:trPr>
        <w:trHeight w:val="221"/>
      </w:trPr>
      <w:tc>
        <w:tcPr>
          <w:tcW w:w="12186" w:type="dxa"/>
          <w:vAlign w:val="center"/>
        </w:tcPr>
        <w:p w14:paraId="58DF16C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"МИНСКИЙ ПОДШИПНИКОВЫЙ ЗАВОД"</w:t>
          </w:r>
          <w:r w:rsidRPr="009E36F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центральная заводская лаборатория</w:t>
          </w:r>
        </w:p>
      </w:tc>
      <w:tc>
        <w:tcPr>
          <w:tcW w:w="2410" w:type="dxa"/>
          <w:vAlign w:val="center"/>
        </w:tcPr>
        <w:p w14:paraId="017936B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2.0067</w:t>
          </w:r>
        </w:p>
      </w:tc>
    </w:tr>
  </w:tbl>
  <w:p w14:paraId="0ABF3BF4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26371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6EC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B5EC7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36F8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0F38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1DE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2025-12-22T09:49:00Z</dcterms:created>
  <dcterms:modified xsi:type="dcterms:W3CDTF">2025-12-22T09:51:00Z</dcterms:modified>
</cp:coreProperties>
</file>